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8E148">
      <w:pPr>
        <w:spacing w:line="590" w:lineRule="exact"/>
        <w:rPr>
          <w:rFonts w:ascii="Times New Roman" w:hAnsi="Times New Roman" w:eastAsia="方正小标宋_GBK" w:cs="仿宋_GB2312"/>
          <w:bCs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Times New Roman" w:hAnsi="Times New Roman" w:eastAsia="仿宋_GB2312" w:cs="仿宋_GB2312"/>
          <w:bCs/>
          <w:sz w:val="32"/>
          <w:szCs w:val="32"/>
        </w:rPr>
        <w:t>附件</w:t>
      </w:r>
      <w:r>
        <w:rPr>
          <w:rFonts w:hint="eastAsia" w:ascii="Times New Roman" w:hAnsi="Times New Roman" w:eastAsia="仿宋_GB2312" w:cs="仿宋_GB2312"/>
          <w:bCs/>
          <w:sz w:val="32"/>
          <w:szCs w:val="32"/>
          <w:lang w:val="en-US" w:eastAsia="zh-CN"/>
        </w:rPr>
        <w:t>2-1</w:t>
      </w:r>
      <w:r>
        <w:rPr>
          <w:rFonts w:ascii="Times New Roman" w:hAnsi="Times New Roman" w:eastAsia="方正小标宋_GBK" w:cs="仿宋_GB2312"/>
          <w:bCs/>
          <w:kern w:val="0"/>
          <w:sz w:val="44"/>
          <w:szCs w:val="44"/>
        </w:rPr>
        <w:t xml:space="preserve"> </w:t>
      </w:r>
    </w:p>
    <w:p w14:paraId="578C6EAE">
      <w:pPr>
        <w:spacing w:line="590" w:lineRule="exact"/>
        <w:jc w:val="center"/>
        <w:rPr>
          <w:rFonts w:ascii="Times New Roman" w:hAnsi="Times New Roman" w:eastAsia="方正小标宋_GBK" w:cs="仿宋_GB2312"/>
          <w:bCs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仿宋_GB2312"/>
          <w:bCs/>
          <w:kern w:val="0"/>
          <w:sz w:val="44"/>
          <w:szCs w:val="44"/>
        </w:rPr>
        <w:t>《南宁师范大学自行采购项目询价函》</w:t>
      </w:r>
    </w:p>
    <w:p w14:paraId="700FC0BC">
      <w:pPr>
        <w:spacing w:line="590" w:lineRule="exact"/>
        <w:jc w:val="center"/>
        <w:rPr>
          <w:rFonts w:ascii="Times New Roman" w:hAnsi="Times New Roman" w:eastAsia="仿宋_GB2312" w:cs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</w:rPr>
        <w:t>（货物、服务类项目适用）</w:t>
      </w:r>
    </w:p>
    <w:tbl>
      <w:tblPr>
        <w:tblStyle w:val="13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4472"/>
        <w:gridCol w:w="2909"/>
      </w:tblGrid>
      <w:tr w14:paraId="5B68C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93" w:type="dxa"/>
            <w:noWrap w:val="0"/>
            <w:vAlign w:val="center"/>
          </w:tcPr>
          <w:p w14:paraId="2534EAB8">
            <w:pPr>
              <w:spacing w:line="500" w:lineRule="exact"/>
              <w:jc w:val="left"/>
              <w:rPr>
                <w:rFonts w:ascii="Times New Roman" w:hAnsi="Times New Roman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4472" w:type="dxa"/>
            <w:noWrap w:val="0"/>
            <w:vAlign w:val="top"/>
          </w:tcPr>
          <w:p w14:paraId="0FA10E4F">
            <w:pPr>
              <w:spacing w:line="500" w:lineRule="exact"/>
              <w:jc w:val="left"/>
              <w:rPr>
                <w:rFonts w:hint="eastAsia" w:ascii="Times New Roman" w:hAnsi="Times New Roman" w:eastAsia="宋体" w:cs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sz w:val="28"/>
                <w:szCs w:val="28"/>
                <w:u w:val="single"/>
              </w:rPr>
              <w:t>南宁师范大学明秀校区消防自动报警控制系统维修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u w:val="single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u w:val="single"/>
              </w:rPr>
              <w:t>采购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，</w:t>
            </w:r>
          </w:p>
          <w:p w14:paraId="4D46D8A9">
            <w:pPr>
              <w:spacing w:line="500" w:lineRule="exact"/>
              <w:jc w:val="left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sz w:val="28"/>
                <w:szCs w:val="28"/>
                <w:u w:val="single"/>
              </w:rPr>
              <w:t xml:space="preserve">编号：   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u w:val="single"/>
              </w:rPr>
              <w:t xml:space="preserve">  </w:t>
            </w:r>
          </w:p>
        </w:tc>
        <w:tc>
          <w:tcPr>
            <w:tcW w:w="2909" w:type="dxa"/>
            <w:noWrap w:val="0"/>
            <w:vAlign w:val="top"/>
          </w:tcPr>
          <w:p w14:paraId="71F220FE">
            <w:pPr>
              <w:spacing w:line="500" w:lineRule="exact"/>
              <w:jc w:val="left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采购预算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u w:val="single"/>
                <w:lang w:val="en-US" w:eastAsia="zh-CN"/>
              </w:rPr>
              <w:t>30万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元</w:t>
            </w:r>
          </w:p>
        </w:tc>
      </w:tr>
      <w:tr w14:paraId="727AA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1393" w:type="dxa"/>
            <w:noWrap w:val="0"/>
            <w:vAlign w:val="center"/>
          </w:tcPr>
          <w:p w14:paraId="35B96B8E">
            <w:pPr>
              <w:spacing w:line="500" w:lineRule="exact"/>
              <w:jc w:val="left"/>
              <w:rPr>
                <w:rFonts w:ascii="Times New Roman" w:hAnsi="Times New Roman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z w:val="28"/>
                <w:szCs w:val="28"/>
              </w:rPr>
              <w:t>供应商资格要求</w:t>
            </w:r>
          </w:p>
        </w:tc>
        <w:tc>
          <w:tcPr>
            <w:tcW w:w="7381" w:type="dxa"/>
            <w:gridSpan w:val="2"/>
            <w:noWrap w:val="0"/>
            <w:vAlign w:val="top"/>
          </w:tcPr>
          <w:p w14:paraId="26516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1.满足《中华人民共和国政府采购法》第二十二条规定；</w:t>
            </w:r>
          </w:p>
          <w:p w14:paraId="6CBC8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lang w:val="en-US" w:eastAsia="zh-CN" w:bidi="ar-SA"/>
              </w:rPr>
              <w:t>2.具有消防设施工程专业承包二级及以上资质、有效安全生产许可证；</w:t>
            </w:r>
          </w:p>
          <w:p w14:paraId="0054B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2"/>
                <w:lang w:val="en-US" w:eastAsia="zh-CN" w:bidi="ar-SA"/>
              </w:rPr>
              <w:t>3.近三年无重大违法违规记录，无失信被执行人记录。</w:t>
            </w:r>
          </w:p>
        </w:tc>
      </w:tr>
      <w:tr w14:paraId="12D01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5" w:hRule="atLeast"/>
        </w:trPr>
        <w:tc>
          <w:tcPr>
            <w:tcW w:w="1393" w:type="dxa"/>
            <w:noWrap w:val="0"/>
            <w:vAlign w:val="center"/>
          </w:tcPr>
          <w:p w14:paraId="00405E6F">
            <w:pPr>
              <w:spacing w:line="500" w:lineRule="exact"/>
              <w:jc w:val="left"/>
              <w:rPr>
                <w:rFonts w:ascii="Times New Roman" w:hAnsi="Times New Roman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z w:val="28"/>
                <w:szCs w:val="28"/>
              </w:rPr>
              <w:t>采购需求</w:t>
            </w:r>
          </w:p>
        </w:tc>
        <w:tc>
          <w:tcPr>
            <w:tcW w:w="7381" w:type="dxa"/>
            <w:gridSpan w:val="2"/>
            <w:noWrap w:val="0"/>
            <w:vAlign w:val="top"/>
          </w:tcPr>
          <w:p w14:paraId="13EF8DB5">
            <w:pPr>
              <w:spacing w:line="500" w:lineRule="exact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包括但不限于以下参考内容：</w:t>
            </w:r>
          </w:p>
          <w:tbl>
            <w:tblPr>
              <w:tblStyle w:val="13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789"/>
              <w:gridCol w:w="1173"/>
              <w:gridCol w:w="1225"/>
              <w:gridCol w:w="2968"/>
            </w:tblGrid>
            <w:tr w14:paraId="7618E3E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9" w:type="dxa"/>
                  <w:noWrap w:val="0"/>
                  <w:vAlign w:val="top"/>
                </w:tcPr>
                <w:p w14:paraId="6300C2EA">
                  <w:pPr>
                    <w:spacing w:line="500" w:lineRule="exact"/>
                    <w:jc w:val="center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采购内容：货物（或服务）名称</w:t>
                  </w:r>
                </w:p>
              </w:tc>
              <w:tc>
                <w:tcPr>
                  <w:tcW w:w="1173" w:type="dxa"/>
                  <w:noWrap w:val="0"/>
                  <w:vAlign w:val="top"/>
                </w:tcPr>
                <w:p w14:paraId="223798A7">
                  <w:pPr>
                    <w:spacing w:line="500" w:lineRule="exact"/>
                    <w:jc w:val="center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数量及单位</w:t>
                  </w:r>
                </w:p>
              </w:tc>
              <w:tc>
                <w:tcPr>
                  <w:tcW w:w="1225" w:type="dxa"/>
                  <w:noWrap w:val="0"/>
                  <w:vAlign w:val="top"/>
                </w:tcPr>
                <w:p w14:paraId="5E460FBC">
                  <w:pPr>
                    <w:spacing w:line="500" w:lineRule="exact"/>
                    <w:jc w:val="center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参考型号、规格</w:t>
                  </w:r>
                </w:p>
              </w:tc>
              <w:tc>
                <w:tcPr>
                  <w:tcW w:w="2968" w:type="dxa"/>
                  <w:noWrap w:val="0"/>
                  <w:vAlign w:val="top"/>
                </w:tcPr>
                <w:p w14:paraId="6730802B">
                  <w:pPr>
                    <w:spacing w:line="500" w:lineRule="exact"/>
                    <w:jc w:val="center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技术参数、性能、功能、配置等要求</w:t>
                  </w:r>
                </w:p>
              </w:tc>
            </w:tr>
            <w:tr w14:paraId="225DC3C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9" w:type="dxa"/>
                  <w:noWrap w:val="0"/>
                  <w:vAlign w:val="top"/>
                </w:tcPr>
                <w:p w14:paraId="3016862C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消控系统主机</w:t>
                  </w:r>
                </w:p>
              </w:tc>
              <w:tc>
                <w:tcPr>
                  <w:tcW w:w="1173" w:type="dxa"/>
                  <w:noWrap w:val="0"/>
                  <w:vAlign w:val="top"/>
                </w:tcPr>
                <w:p w14:paraId="5A05F54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default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1套</w:t>
                  </w:r>
                </w:p>
              </w:tc>
              <w:tc>
                <w:tcPr>
                  <w:tcW w:w="1225" w:type="dxa"/>
                  <w:noWrap w:val="0"/>
                  <w:vAlign w:val="top"/>
                </w:tcPr>
                <w:p w14:paraId="5D4C936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default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/</w:t>
                  </w:r>
                </w:p>
              </w:tc>
              <w:tc>
                <w:tcPr>
                  <w:tcW w:w="2968" w:type="dxa"/>
                  <w:noWrap w:val="0"/>
                  <w:vAlign w:val="top"/>
                </w:tcPr>
                <w:p w14:paraId="6C13B06D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1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配置：消控系统主机为</w:t>
                  </w: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立柜式/琴台式</w:t>
                  </w: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形制，含火灾报警控制器、多线控制盘、总线控制盘、广播控制盘、广播功率放大器、AGM铅酸蓄电池。</w:t>
                  </w:r>
                </w:p>
                <w:p w14:paraId="0D4AB269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1"/>
                    </w:numPr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技术参数及功能：</w:t>
                  </w: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16回路，可带载3200个地址点，7寸液晶屏，含一套8路多线手动控制盘，内置运行数据存储单元、打印机，联动输出DC27V/5A，具备联网功能。</w:t>
                  </w:r>
                </w:p>
              </w:tc>
            </w:tr>
            <w:tr w14:paraId="10E7599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9" w:type="dxa"/>
                  <w:noWrap w:val="0"/>
                  <w:vAlign w:val="top"/>
                </w:tcPr>
                <w:p w14:paraId="542D141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火灾报警线路维修</w:t>
                  </w:r>
                </w:p>
              </w:tc>
              <w:tc>
                <w:tcPr>
                  <w:tcW w:w="1173" w:type="dxa"/>
                  <w:noWrap w:val="0"/>
                  <w:vAlign w:val="top"/>
                </w:tcPr>
                <w:p w14:paraId="2330AF9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default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1项</w:t>
                  </w:r>
                </w:p>
              </w:tc>
              <w:tc>
                <w:tcPr>
                  <w:tcW w:w="1225" w:type="dxa"/>
                  <w:noWrap w:val="0"/>
                  <w:vAlign w:val="top"/>
                </w:tcPr>
                <w:p w14:paraId="0477AF1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default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/</w:t>
                  </w:r>
                </w:p>
              </w:tc>
              <w:tc>
                <w:tcPr>
                  <w:tcW w:w="2968" w:type="dxa"/>
                  <w:noWrap w:val="0"/>
                  <w:vAlign w:val="top"/>
                </w:tcPr>
                <w:p w14:paraId="69B9AE5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default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u w:val="none"/>
                      <w:lang w:val="en-US" w:eastAsia="zh-CN"/>
                    </w:rPr>
                    <w:t>1、线路修复包含图书馆、文星楼自动报警系统与外部设备连接恢复，使系统恢复正常运行状态。</w:t>
                  </w:r>
                </w:p>
              </w:tc>
            </w:tr>
            <w:tr w14:paraId="1661B0D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9" w:type="dxa"/>
                  <w:noWrap w:val="0"/>
                  <w:vAlign w:val="top"/>
                </w:tcPr>
                <w:p w14:paraId="41D7F74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感烟报警器</w:t>
                  </w:r>
                </w:p>
              </w:tc>
              <w:tc>
                <w:tcPr>
                  <w:tcW w:w="1173" w:type="dxa"/>
                  <w:noWrap w:val="0"/>
                  <w:vAlign w:val="top"/>
                </w:tcPr>
                <w:p w14:paraId="422627C1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default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2300个</w:t>
                  </w:r>
                </w:p>
              </w:tc>
              <w:tc>
                <w:tcPr>
                  <w:tcW w:w="1225" w:type="dxa"/>
                  <w:noWrap w:val="0"/>
                  <w:vAlign w:val="top"/>
                </w:tcPr>
                <w:p w14:paraId="2E1F4C3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/</w:t>
                  </w:r>
                </w:p>
              </w:tc>
              <w:tc>
                <w:tcPr>
                  <w:tcW w:w="2968" w:type="dxa"/>
                  <w:noWrap w:val="0"/>
                  <w:vAlign w:val="top"/>
                </w:tcPr>
                <w:p w14:paraId="1DA35F0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分布智能A型，电子编码，指示灯360度可见，内置青鸟消防自主研发的消防报警专用MCU--朱鹮芯片，具备2级报警响应阈值，可在线或离线设置；具备火警预警、污染故障等多种报警类型。</w:t>
                  </w:r>
                </w:p>
              </w:tc>
            </w:tr>
            <w:tr w14:paraId="6F2933B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35" w:hRule="atLeast"/>
              </w:trPr>
              <w:tc>
                <w:tcPr>
                  <w:tcW w:w="1789" w:type="dxa"/>
                  <w:noWrap w:val="0"/>
                  <w:vAlign w:val="top"/>
                </w:tcPr>
                <w:p w14:paraId="2499CDB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手动报警</w:t>
                  </w: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器</w:t>
                  </w:r>
                </w:p>
              </w:tc>
              <w:tc>
                <w:tcPr>
                  <w:tcW w:w="1173" w:type="dxa"/>
                  <w:noWrap w:val="0"/>
                  <w:vAlign w:val="top"/>
                </w:tcPr>
                <w:p w14:paraId="059119EE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default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230个</w:t>
                  </w:r>
                </w:p>
              </w:tc>
              <w:tc>
                <w:tcPr>
                  <w:tcW w:w="1225" w:type="dxa"/>
                  <w:noWrap w:val="0"/>
                  <w:vAlign w:val="top"/>
                </w:tcPr>
                <w:p w14:paraId="523F4A8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/</w:t>
                  </w:r>
                </w:p>
              </w:tc>
              <w:tc>
                <w:tcPr>
                  <w:tcW w:w="2968" w:type="dxa"/>
                  <w:noWrap w:val="0"/>
                  <w:vAlign w:val="top"/>
                </w:tcPr>
                <w:p w14:paraId="0A6071C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电子编码，机械复位。具有报警抢占功能。</w:t>
                  </w:r>
                </w:p>
              </w:tc>
            </w:tr>
            <w:tr w14:paraId="7DE0CE7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9" w:type="dxa"/>
                  <w:noWrap w:val="0"/>
                  <w:vAlign w:val="top"/>
                </w:tcPr>
                <w:p w14:paraId="77D6A46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火灾声光警报器</w:t>
                  </w:r>
                </w:p>
              </w:tc>
              <w:tc>
                <w:tcPr>
                  <w:tcW w:w="1173" w:type="dxa"/>
                  <w:noWrap w:val="0"/>
                  <w:vAlign w:val="top"/>
                </w:tcPr>
                <w:p w14:paraId="1F9BA183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230个</w:t>
                  </w:r>
                </w:p>
              </w:tc>
              <w:tc>
                <w:tcPr>
                  <w:tcW w:w="1225" w:type="dxa"/>
                  <w:noWrap w:val="0"/>
                  <w:vAlign w:val="top"/>
                </w:tcPr>
                <w:p w14:paraId="22852CFA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/</w:t>
                  </w:r>
                </w:p>
              </w:tc>
              <w:tc>
                <w:tcPr>
                  <w:tcW w:w="2968" w:type="dxa"/>
                  <w:noWrap w:val="0"/>
                  <w:vAlign w:val="top"/>
                </w:tcPr>
                <w:p w14:paraId="42178D0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二总线设备，电子编码，支持编址与非编址方式使用。具有声和光的独立设置功能。报警音调具备2种选择。</w:t>
                  </w:r>
                </w:p>
              </w:tc>
            </w:tr>
            <w:tr w14:paraId="5A53947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9" w:type="dxa"/>
                  <w:noWrap w:val="0"/>
                  <w:vAlign w:val="top"/>
                </w:tcPr>
                <w:p w14:paraId="2F6265A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广播喇叭</w:t>
                  </w:r>
                </w:p>
              </w:tc>
              <w:tc>
                <w:tcPr>
                  <w:tcW w:w="1173" w:type="dxa"/>
                  <w:noWrap w:val="0"/>
                  <w:vAlign w:val="top"/>
                </w:tcPr>
                <w:p w14:paraId="1CDB3542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default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270个</w:t>
                  </w:r>
                </w:p>
              </w:tc>
              <w:tc>
                <w:tcPr>
                  <w:tcW w:w="1225" w:type="dxa"/>
                  <w:noWrap w:val="0"/>
                  <w:vAlign w:val="top"/>
                </w:tcPr>
                <w:p w14:paraId="2FE6512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/</w:t>
                  </w:r>
                </w:p>
              </w:tc>
              <w:tc>
                <w:tcPr>
                  <w:tcW w:w="2968" w:type="dxa"/>
                  <w:noWrap w:val="0"/>
                  <w:vAlign w:val="top"/>
                </w:tcPr>
                <w:p w14:paraId="19BB452B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额定输出功率 3W。外型尺寸：170 x 57mm。有线路监测功能。吸顶明装。</w:t>
                  </w:r>
                </w:p>
              </w:tc>
            </w:tr>
            <w:tr w14:paraId="74DABBA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9" w:type="dxa"/>
                  <w:noWrap w:val="0"/>
                  <w:vAlign w:val="top"/>
                </w:tcPr>
                <w:p w14:paraId="4F501170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消防电话</w:t>
                  </w:r>
                </w:p>
              </w:tc>
              <w:tc>
                <w:tcPr>
                  <w:tcW w:w="1173" w:type="dxa"/>
                  <w:noWrap w:val="0"/>
                  <w:vAlign w:val="top"/>
                </w:tcPr>
                <w:p w14:paraId="5EDC486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default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20个</w:t>
                  </w:r>
                </w:p>
              </w:tc>
              <w:tc>
                <w:tcPr>
                  <w:tcW w:w="1225" w:type="dxa"/>
                  <w:noWrap w:val="0"/>
                  <w:vAlign w:val="top"/>
                </w:tcPr>
                <w:p w14:paraId="3DAC07D7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/</w:t>
                  </w:r>
                </w:p>
              </w:tc>
              <w:tc>
                <w:tcPr>
                  <w:tcW w:w="2968" w:type="dxa"/>
                  <w:noWrap w:val="0"/>
                  <w:vAlign w:val="top"/>
                </w:tcPr>
                <w:p w14:paraId="5C1EAD4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总线制，手动拨码，带光指示、线路检测、振铃功能。配接IG1602电话主机使用，U型端子接线。</w:t>
                  </w:r>
                </w:p>
              </w:tc>
            </w:tr>
            <w:tr w14:paraId="285193D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35" w:hRule="atLeast"/>
              </w:trPr>
              <w:tc>
                <w:tcPr>
                  <w:tcW w:w="1789" w:type="dxa"/>
                  <w:noWrap w:val="0"/>
                  <w:vAlign w:val="top"/>
                </w:tcPr>
                <w:p w14:paraId="008EABD4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各类联动模块</w:t>
                  </w:r>
                </w:p>
              </w:tc>
              <w:tc>
                <w:tcPr>
                  <w:tcW w:w="1173" w:type="dxa"/>
                  <w:noWrap w:val="0"/>
                  <w:vAlign w:val="top"/>
                </w:tcPr>
                <w:p w14:paraId="03C7AF99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hint="default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600个</w:t>
                  </w:r>
                </w:p>
              </w:tc>
              <w:tc>
                <w:tcPr>
                  <w:tcW w:w="1225" w:type="dxa"/>
                  <w:noWrap w:val="0"/>
                  <w:vAlign w:val="top"/>
                </w:tcPr>
                <w:p w14:paraId="1FB83B6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/</w:t>
                  </w:r>
                </w:p>
              </w:tc>
              <w:tc>
                <w:tcPr>
                  <w:tcW w:w="2968" w:type="dxa"/>
                  <w:noWrap w:val="0"/>
                  <w:vAlign w:val="top"/>
                </w:tcPr>
                <w:p w14:paraId="755A72F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二总线设备，电子编码，内置MCU，启动后输出无源</w:t>
                  </w: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eastAsia="zh-CN"/>
                    </w:rPr>
                    <w:t>、</w:t>
                  </w: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有源</w:t>
                  </w: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触点，触点容量为DC30V/2A，具有线路检测功能。</w:t>
                  </w:r>
                </w:p>
              </w:tc>
            </w:tr>
            <w:tr w14:paraId="2B8A540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789" w:type="dxa"/>
                  <w:noWrap w:val="0"/>
                  <w:vAlign w:val="top"/>
                </w:tcPr>
                <w:p w14:paraId="6D8F58C8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CRT图形显示装置</w:t>
                  </w:r>
                </w:p>
              </w:tc>
              <w:tc>
                <w:tcPr>
                  <w:tcW w:w="1173" w:type="dxa"/>
                  <w:noWrap w:val="0"/>
                  <w:vAlign w:val="top"/>
                </w:tcPr>
                <w:p w14:paraId="7D89894F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1套</w:t>
                  </w:r>
                </w:p>
              </w:tc>
              <w:tc>
                <w:tcPr>
                  <w:tcW w:w="1225" w:type="dxa"/>
                  <w:noWrap w:val="0"/>
                  <w:vAlign w:val="top"/>
                </w:tcPr>
                <w:p w14:paraId="2AF3FA15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  <w:lang w:val="en-US" w:eastAsia="zh-CN"/>
                    </w:rPr>
                    <w:t>/</w:t>
                  </w:r>
                </w:p>
              </w:tc>
              <w:tc>
                <w:tcPr>
                  <w:tcW w:w="2968" w:type="dxa"/>
                  <w:noWrap w:val="0"/>
                  <w:vAlign w:val="top"/>
                </w:tcPr>
                <w:p w14:paraId="3C636EFD">
                  <w:pPr>
                    <w:keepNext w:val="0"/>
                    <w:keepLines w:val="0"/>
                    <w:pageBreakBefore w:val="0"/>
                    <w:widowControl w:val="0"/>
                    <w:kinsoku/>
                    <w:wordWrap/>
                    <w:overflowPunct/>
                    <w:topLinePunct w:val="0"/>
                    <w:autoSpaceDE/>
                    <w:autoSpaceDN/>
                    <w:bidi w:val="0"/>
                    <w:adjustRightInd/>
                    <w:snapToGrid/>
                    <w:spacing w:line="400" w:lineRule="exact"/>
                    <w:textAlignment w:val="auto"/>
                    <w:rPr>
                      <w:rFonts w:ascii="Times New Roman" w:hAnsi="Times New Roman" w:eastAsia="宋体" w:cs="宋体"/>
                      <w:color w:val="auto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宋体"/>
                      <w:color w:val="auto"/>
                      <w:szCs w:val="21"/>
                    </w:rPr>
                    <w:t>一体式设备，DC24V电源供电，液晶屏尺寸18.5寸，含鼠标、键盘，用于火灾报警控制器、可燃气体报警控制器、电气火灾监控设备等控制器通讯，单琴台。</w:t>
                  </w:r>
                </w:p>
              </w:tc>
            </w:tr>
          </w:tbl>
          <w:p w14:paraId="5B85E639">
            <w:pPr>
              <w:spacing w:line="500" w:lineRule="exact"/>
              <w:rPr>
                <w:rFonts w:ascii="Times New Roman" w:hAnsi="Times New Roman" w:eastAsia="宋体" w:cs="宋体"/>
                <w:szCs w:val="21"/>
              </w:rPr>
            </w:pPr>
          </w:p>
        </w:tc>
      </w:tr>
      <w:tr w14:paraId="0C692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393" w:type="dxa"/>
            <w:noWrap w:val="0"/>
            <w:vAlign w:val="center"/>
          </w:tcPr>
          <w:p w14:paraId="16E31C59">
            <w:pPr>
              <w:widowControl w:val="0"/>
              <w:snapToGrid w:val="0"/>
              <w:spacing w:line="500" w:lineRule="exact"/>
              <w:jc w:val="center"/>
              <w:outlineLvl w:val="0"/>
              <w:rPr>
                <w:rFonts w:ascii="Times New Roman" w:hAnsi="Times New Roman" w:eastAsia="宋体" w:cs="Courier New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Courier New"/>
                <w:b/>
                <w:bCs/>
                <w:kern w:val="2"/>
                <w:sz w:val="28"/>
                <w:szCs w:val="28"/>
                <w:lang w:val="en-US" w:eastAsia="zh-CN" w:bidi="ar-SA"/>
              </w:rPr>
              <w:t>质量标准</w:t>
            </w:r>
          </w:p>
        </w:tc>
        <w:tc>
          <w:tcPr>
            <w:tcW w:w="7381" w:type="dxa"/>
            <w:gridSpan w:val="2"/>
            <w:noWrap w:val="0"/>
            <w:vAlign w:val="center"/>
          </w:tcPr>
          <w:p w14:paraId="2B4347EE">
            <w:pPr>
              <w:snapToGrid w:val="0"/>
              <w:spacing w:line="500" w:lineRule="exact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符合货物制造厂家合格产品的出厂质量标准。</w:t>
            </w:r>
          </w:p>
        </w:tc>
      </w:tr>
      <w:tr w14:paraId="4320B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9" w:hRule="atLeast"/>
        </w:trPr>
        <w:tc>
          <w:tcPr>
            <w:tcW w:w="1393" w:type="dxa"/>
            <w:noWrap w:val="0"/>
            <w:vAlign w:val="center"/>
          </w:tcPr>
          <w:p w14:paraId="267427C5">
            <w:pPr>
              <w:widowControl w:val="0"/>
              <w:snapToGrid w:val="0"/>
              <w:spacing w:line="500" w:lineRule="exact"/>
              <w:jc w:val="center"/>
              <w:outlineLvl w:val="0"/>
              <w:rPr>
                <w:rFonts w:ascii="Times New Roman" w:hAnsi="Times New Roman" w:eastAsia="宋体" w:cs="Courier New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Courier New"/>
                <w:b/>
                <w:bCs/>
                <w:kern w:val="2"/>
                <w:sz w:val="28"/>
                <w:szCs w:val="28"/>
                <w:lang w:val="en-US" w:eastAsia="zh-CN" w:bidi="ar-SA"/>
              </w:rPr>
              <w:t>验收条件及标准</w:t>
            </w:r>
          </w:p>
        </w:tc>
        <w:tc>
          <w:tcPr>
            <w:tcW w:w="7381" w:type="dxa"/>
            <w:gridSpan w:val="2"/>
            <w:noWrap w:val="0"/>
            <w:vAlign w:val="center"/>
          </w:tcPr>
          <w:p w14:paraId="3D6D91ED">
            <w:pPr>
              <w:snapToGrid w:val="0"/>
              <w:spacing w:line="500" w:lineRule="exact"/>
              <w:jc w:val="left"/>
              <w:rPr>
                <w:rFonts w:ascii="Times New Roman" w:hAnsi="Times New Roman" w:eastAsia="宋体" w:cs="Times New Roman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Cs w:val="22"/>
              </w:rPr>
              <w:t>1.货物需全新、完好、无破损，按照技术要求的各项指标进行验收。</w:t>
            </w:r>
          </w:p>
          <w:p w14:paraId="5CFA9FD7">
            <w:pPr>
              <w:snapToGrid w:val="0"/>
              <w:spacing w:line="500" w:lineRule="exact"/>
              <w:jc w:val="left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2.试运行测评验收不通过的，供应商须无条件整改，直至整改通过，否则项目将不予整体验收。因供应商原因导致的测评验收不通过，将导致项目无法整体验收，此视为供应商严重违约，并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需承担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无法验收给采购人造成的损失。</w:t>
            </w:r>
          </w:p>
        </w:tc>
      </w:tr>
      <w:tr w14:paraId="48A9C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74" w:type="dxa"/>
            <w:gridSpan w:val="3"/>
            <w:noWrap w:val="0"/>
            <w:vAlign w:val="center"/>
          </w:tcPr>
          <w:p w14:paraId="15D9BDC3">
            <w:pPr>
              <w:spacing w:line="500" w:lineRule="exact"/>
              <w:rPr>
                <w:rFonts w:ascii="Times New Roman" w:hAnsi="Times New Roman" w:eastAsia="宋体" w:cs="宋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color w:val="auto"/>
                <w:sz w:val="28"/>
                <w:szCs w:val="28"/>
              </w:rPr>
              <w:t>商务服务要求部分</w:t>
            </w:r>
          </w:p>
          <w:p w14:paraId="120F0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Cs w:val="21"/>
                <w:lang w:val="en-US" w:eastAsia="zh-CN"/>
              </w:rPr>
              <w:t>1. 报价为全包总价，包含完成本项目全部工作的所有费用。</w:t>
            </w:r>
          </w:p>
          <w:p w14:paraId="761E1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Cs w:val="21"/>
                <w:lang w:val="en-US" w:eastAsia="zh-CN"/>
              </w:rPr>
              <w:t>2. 严格遵守校园安全管理，文明施工，施工安全责任由供应商承担。</w:t>
            </w:r>
          </w:p>
          <w:p w14:paraId="5540C1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Cs w:val="21"/>
                <w:lang w:val="en-US" w:eastAsia="zh-CN"/>
              </w:rPr>
              <w:t>3. 完工提交完整竣工资料，系统须符合消防规范，通过校方验收。</w:t>
            </w:r>
          </w:p>
          <w:p w14:paraId="2F7E4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Cs w:val="21"/>
                <w:lang w:val="en-US" w:eastAsia="zh-CN"/>
              </w:rPr>
              <w:t>4. 对校方人员（含安保公司消控室值班员）开展现场操作培训；变更方案须经采购人书面确认。</w:t>
            </w:r>
          </w:p>
          <w:p w14:paraId="034651B7">
            <w:pPr>
              <w:spacing w:line="500" w:lineRule="exact"/>
              <w:rPr>
                <w:rFonts w:ascii="Times New Roman" w:hAnsi="Times New Roman" w:eastAsia="宋体" w:cs="宋体"/>
                <w:szCs w:val="21"/>
              </w:rPr>
            </w:pPr>
          </w:p>
        </w:tc>
      </w:tr>
      <w:tr w14:paraId="5C31D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393" w:type="dxa"/>
            <w:noWrap w:val="0"/>
            <w:vAlign w:val="center"/>
          </w:tcPr>
          <w:p w14:paraId="555FF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jc w:val="center"/>
              <w:textAlignment w:val="auto"/>
              <w:rPr>
                <w:rFonts w:ascii="Times New Roman" w:hAnsi="Times New Roman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</w:rPr>
              <w:t>合同签订时间</w:t>
            </w:r>
          </w:p>
        </w:tc>
        <w:tc>
          <w:tcPr>
            <w:tcW w:w="7381" w:type="dxa"/>
            <w:gridSpan w:val="2"/>
            <w:noWrap w:val="0"/>
            <w:vAlign w:val="center"/>
          </w:tcPr>
          <w:p w14:paraId="348E78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jc w:val="left"/>
              <w:textAlignment w:val="auto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自确定成交之日起</w:t>
            </w:r>
            <w:r>
              <w:rPr>
                <w:rFonts w:hint="eastAsia" w:ascii="Times New Roman" w:hAnsi="Times New Roman" w:eastAsia="宋体" w:cs="Times New Roman"/>
                <w:bCs/>
                <w:szCs w:val="21"/>
                <w:u w:val="single"/>
              </w:rPr>
              <w:t xml:space="preserve"> 15 </w:t>
            </w: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个日历日内。</w:t>
            </w:r>
          </w:p>
        </w:tc>
      </w:tr>
      <w:tr w14:paraId="13E5F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</w:trPr>
        <w:tc>
          <w:tcPr>
            <w:tcW w:w="1393" w:type="dxa"/>
            <w:noWrap w:val="0"/>
            <w:vAlign w:val="center"/>
          </w:tcPr>
          <w:p w14:paraId="3F73B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jc w:val="center"/>
              <w:textAlignment w:val="auto"/>
              <w:rPr>
                <w:rFonts w:ascii="Times New Roman" w:hAnsi="Times New Roman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</w:rPr>
              <w:t>质保期</w:t>
            </w:r>
          </w:p>
        </w:tc>
        <w:tc>
          <w:tcPr>
            <w:tcW w:w="7381" w:type="dxa"/>
            <w:gridSpan w:val="2"/>
            <w:noWrap w:val="0"/>
            <w:vAlign w:val="center"/>
          </w:tcPr>
          <w:p w14:paraId="1102AC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jc w:val="left"/>
              <w:textAlignment w:val="auto"/>
              <w:rPr>
                <w:rFonts w:ascii="Times New Roman" w:hAnsi="Times New Roman" w:eastAsia="宋体" w:cs="Times New Roman"/>
                <w:bCs/>
                <w:color w:val="auto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按国家有关产品“三包”规定执行“三包”，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免费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质保期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为</w:t>
            </w:r>
            <w:r>
              <w:rPr>
                <w:rFonts w:hint="eastAsia" w:ascii="Times New Roman" w:hAnsi="Times New Roman" w:eastAsia="宋体" w:cs="宋体"/>
                <w:color w:val="auto"/>
                <w:szCs w:val="21"/>
              </w:rPr>
              <w:t>消控系统主机</w:t>
            </w:r>
            <w:r>
              <w:rPr>
                <w:rFonts w:hint="eastAsia" w:ascii="Times New Roman" w:hAnsi="Times New Roman" w:eastAsia="宋体" w:cs="宋体"/>
                <w:color w:val="auto"/>
                <w:szCs w:val="21"/>
                <w:lang w:val="en-US" w:eastAsia="zh-CN"/>
              </w:rPr>
              <w:t>和</w:t>
            </w:r>
            <w:r>
              <w:rPr>
                <w:rFonts w:hint="eastAsia" w:ascii="Times New Roman" w:hAnsi="Times New Roman" w:eastAsia="宋体" w:cs="宋体"/>
                <w:color w:val="auto"/>
                <w:szCs w:val="21"/>
              </w:rPr>
              <w:t>CRT图形显示装置</w:t>
            </w:r>
            <w:r>
              <w:rPr>
                <w:rFonts w:hint="eastAsia" w:ascii="Times New Roman" w:hAnsi="Times New Roman" w:eastAsia="宋体" w:cs="宋体"/>
                <w:color w:val="auto"/>
                <w:szCs w:val="21"/>
                <w:lang w:val="en-US" w:eastAsia="zh-CN"/>
              </w:rPr>
              <w:t>质保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eastAsia="zh-CN"/>
              </w:rPr>
              <w:t>，前端现场设备（感烟报警器、手动报警器声光报警器、广播喇叭、消防电话、各类联动模块）质保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  <w:lang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eastAsia="zh-CN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（设备技术要求栏中有特别注明的除外），保修期内上门维修免收维修费和零部件费，并提供终身维修服务</w:t>
            </w:r>
            <w:r>
              <w:rPr>
                <w:rFonts w:hint="eastAsia" w:ascii="Times New Roman" w:hAnsi="Times New Roman" w:eastAsia="宋体" w:cs="宋体"/>
                <w:color w:val="auto"/>
                <w:szCs w:val="21"/>
              </w:rPr>
              <w:t>。</w:t>
            </w:r>
          </w:p>
        </w:tc>
      </w:tr>
      <w:tr w14:paraId="71FB3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  <w:noWrap w:val="0"/>
            <w:vAlign w:val="center"/>
          </w:tcPr>
          <w:p w14:paraId="39229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jc w:val="center"/>
              <w:textAlignment w:val="auto"/>
              <w:rPr>
                <w:rFonts w:ascii="Times New Roman" w:hAnsi="Times New Roman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</w:rPr>
              <w:t>售后服务要求</w:t>
            </w:r>
          </w:p>
        </w:tc>
        <w:tc>
          <w:tcPr>
            <w:tcW w:w="7381" w:type="dxa"/>
            <w:gridSpan w:val="2"/>
            <w:noWrap w:val="0"/>
            <w:vAlign w:val="center"/>
          </w:tcPr>
          <w:p w14:paraId="7FF2B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jc w:val="left"/>
              <w:textAlignment w:val="auto"/>
              <w:rPr>
                <w:rFonts w:ascii="Times New Roman" w:hAnsi="Times New Roman" w:eastAsia="宋体" w:cs="宋体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Cs w:val="21"/>
              </w:rPr>
              <w:t>免费保修（升级维护）期：按国家有关产品“三包”规定执行“三包”，免费保修（升级维护）期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为</w:t>
            </w:r>
            <w:r>
              <w:rPr>
                <w:rFonts w:hint="eastAsia" w:ascii="Times New Roman" w:hAnsi="Times New Roman" w:eastAsia="宋体" w:cs="宋体"/>
                <w:color w:val="auto"/>
                <w:szCs w:val="21"/>
              </w:rPr>
              <w:t>消控系统主机</w:t>
            </w:r>
            <w:r>
              <w:rPr>
                <w:rFonts w:hint="eastAsia" w:ascii="Times New Roman" w:hAnsi="Times New Roman" w:eastAsia="宋体" w:cs="宋体"/>
                <w:color w:val="auto"/>
                <w:szCs w:val="21"/>
                <w:lang w:val="en-US" w:eastAsia="zh-CN"/>
              </w:rPr>
              <w:t>和</w:t>
            </w:r>
            <w:r>
              <w:rPr>
                <w:rFonts w:hint="eastAsia" w:ascii="Times New Roman" w:hAnsi="Times New Roman" w:eastAsia="宋体" w:cs="宋体"/>
                <w:color w:val="auto"/>
                <w:szCs w:val="21"/>
              </w:rPr>
              <w:t>CRT图形显示装置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年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eastAsia="zh-CN"/>
              </w:rPr>
              <w:t>，前端现场设备（感烟报警器、手动报警器声光报警器、广播喇叭、消防电话、各类联动模块）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  <w:lang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eastAsia="zh-CN"/>
              </w:rPr>
              <w:t>年</w:t>
            </w:r>
            <w:r>
              <w:rPr>
                <w:rFonts w:hint="eastAsia" w:ascii="Times New Roman" w:hAnsi="Times New Roman" w:eastAsia="宋体" w:cs="宋体"/>
                <w:color w:val="auto"/>
                <w:szCs w:val="21"/>
              </w:rPr>
              <w:t>【免费保修（升级维护）期从设备验收合格之日起计算，项目要求及技术需求中规定的，按规定执行】。免费保修（升级维护）期内免费上门维修（免收维修费和元器件费）、免费更换零部件，并提供终身维修服务，软件免费升级服务。</w:t>
            </w:r>
          </w:p>
        </w:tc>
      </w:tr>
      <w:tr w14:paraId="3C264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  <w:noWrap w:val="0"/>
            <w:vAlign w:val="center"/>
          </w:tcPr>
          <w:p w14:paraId="4163F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jc w:val="center"/>
              <w:textAlignment w:val="auto"/>
              <w:rPr>
                <w:rFonts w:ascii="Times New Roman" w:hAnsi="Times New Roman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</w:rPr>
              <w:t>交货时间及地点</w:t>
            </w:r>
          </w:p>
        </w:tc>
        <w:tc>
          <w:tcPr>
            <w:tcW w:w="7381" w:type="dxa"/>
            <w:gridSpan w:val="2"/>
            <w:noWrap w:val="0"/>
            <w:vAlign w:val="top"/>
          </w:tcPr>
          <w:p w14:paraId="79640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交货期：</w:t>
            </w:r>
            <w:r>
              <w:rPr>
                <w:rFonts w:hint="eastAsia" w:ascii="Times New Roman" w:hAnsi="Times New Roman" w:eastAsia="宋体" w:cs="Times New Roman"/>
                <w:color w:val="auto"/>
                <w:szCs w:val="22"/>
              </w:rPr>
              <w:t>自签订合同之日起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</w:rPr>
              <w:t xml:space="preserve"> 15 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天内到货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  <w:lang w:val="en-US" w:eastAsia="zh-CN"/>
              </w:rPr>
              <w:t xml:space="preserve"> 25 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天内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全部安装调试合格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eastAsia="zh-CN"/>
              </w:rPr>
              <w:t>并完成全部维修工作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；</w:t>
            </w:r>
          </w:p>
          <w:p w14:paraId="0C90E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交货地点：广西南宁市采购人指定地点</w:t>
            </w:r>
          </w:p>
        </w:tc>
      </w:tr>
      <w:tr w14:paraId="498B8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  <w:noWrap w:val="0"/>
            <w:vAlign w:val="center"/>
          </w:tcPr>
          <w:p w14:paraId="54F07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jc w:val="center"/>
              <w:textAlignment w:val="auto"/>
              <w:rPr>
                <w:rFonts w:ascii="Times New Roman" w:hAnsi="Times New Roman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</w:rPr>
              <w:t>付款条件</w:t>
            </w:r>
          </w:p>
        </w:tc>
        <w:tc>
          <w:tcPr>
            <w:tcW w:w="7381" w:type="dxa"/>
            <w:gridSpan w:val="2"/>
            <w:noWrap w:val="0"/>
            <w:vAlign w:val="top"/>
          </w:tcPr>
          <w:p w14:paraId="19CD1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textAlignment w:val="auto"/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付款方式：</w:t>
            </w:r>
          </w:p>
          <w:p w14:paraId="4A417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ind w:firstLine="420" w:firstLineChars="200"/>
              <w:textAlignment w:val="auto"/>
              <w:rPr>
                <w:rFonts w:ascii="Times New Roman" w:hAnsi="Times New Roman" w:eastAsia="宋体" w:cs="Times New Roman"/>
                <w:color w:val="auto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>货物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在交货验收合格、培训指导完成及设备正常使用，并验收合格后成交供应商在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  <w:lang w:val="en-US" w:eastAsia="zh-CN"/>
              </w:rPr>
              <w:t xml:space="preserve">  3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日内开具发票给采购单位，采购单位拿到发票后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u w:val="single"/>
              </w:rPr>
              <w:t xml:space="preserve">15 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个工作日内支付合同金额的100%（无息）。</w:t>
            </w:r>
          </w:p>
        </w:tc>
      </w:tr>
      <w:tr w14:paraId="05914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  <w:noWrap w:val="0"/>
            <w:vAlign w:val="center"/>
          </w:tcPr>
          <w:p w14:paraId="66970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80" w:lineRule="exact"/>
              <w:textAlignment w:val="auto"/>
              <w:rPr>
                <w:rFonts w:ascii="Times New Roman" w:hAnsi="Times New Roman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</w:rPr>
              <w:t>其他要求</w:t>
            </w:r>
          </w:p>
          <w:p w14:paraId="468AD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ascii="Times New Roman" w:hAnsi="Times New Roman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7381" w:type="dxa"/>
            <w:gridSpan w:val="2"/>
            <w:noWrap w:val="0"/>
            <w:vAlign w:val="top"/>
          </w:tcPr>
          <w:p w14:paraId="0B175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1.为保证用户权益不受侵害，供应商所提供的产品（如涉及专利或软件系统产品软件版权等）产生的任何纠纷以及造成的各项损失，由供应商负责赔偿。</w:t>
            </w:r>
          </w:p>
          <w:p w14:paraId="28C53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供应商所提供响应文件中涉及证明材料部分，供应商须对其真实性承担对应责任，如提供虚假材料，供应商需无条件承担其相应的后果，竞标时提供承诺函。</w:t>
            </w:r>
          </w:p>
        </w:tc>
      </w:tr>
      <w:tr w14:paraId="77C46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3" w:hRule="atLeast"/>
        </w:trPr>
        <w:tc>
          <w:tcPr>
            <w:tcW w:w="1393" w:type="dxa"/>
            <w:noWrap w:val="0"/>
            <w:vAlign w:val="center"/>
          </w:tcPr>
          <w:p w14:paraId="6921A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ascii="Times New Roman" w:hAnsi="Times New Roman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</w:rPr>
              <w:t>响应材料递交</w:t>
            </w:r>
          </w:p>
        </w:tc>
        <w:tc>
          <w:tcPr>
            <w:tcW w:w="7381" w:type="dxa"/>
            <w:gridSpan w:val="2"/>
            <w:noWrap w:val="0"/>
            <w:vAlign w:val="top"/>
          </w:tcPr>
          <w:p w14:paraId="2D2D7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询价响应材料递交截止时间</w:t>
            </w:r>
            <w:r>
              <w:rPr>
                <w:rFonts w:hint="eastAsia" w:ascii="Times New Roman" w:hAnsi="Times New Roman" w:eastAsia="宋体" w:cs="宋体"/>
                <w:szCs w:val="21"/>
                <w:highlight w:val="none"/>
              </w:rPr>
              <w:t>：20</w:t>
            </w:r>
            <w:r>
              <w:rPr>
                <w:rFonts w:hint="eastAsia" w:ascii="Times New Roman" w:hAnsi="Times New Roman" w:eastAsia="宋体" w:cs="宋体"/>
                <w:szCs w:val="21"/>
                <w:highlight w:val="none"/>
                <w:lang w:val="en-US" w:eastAsia="zh-CN"/>
              </w:rPr>
              <w:t>26</w:t>
            </w:r>
            <w:r>
              <w:rPr>
                <w:rFonts w:hint="eastAsia" w:ascii="Times New Roman" w:hAnsi="Times New Roman" w:eastAsia="宋体" w:cs="宋体"/>
                <w:szCs w:val="21"/>
                <w:highlight w:val="none"/>
              </w:rPr>
              <w:t>年</w:t>
            </w:r>
            <w:r>
              <w:rPr>
                <w:rFonts w:hint="eastAsia" w:ascii="Times New Roman" w:hAnsi="Times New Roman" w:eastAsia="宋体" w:cs="宋体"/>
                <w:szCs w:val="21"/>
                <w:highlight w:val="none"/>
                <w:lang w:val="en-US" w:eastAsia="zh-CN"/>
              </w:rPr>
              <w:t>11</w:t>
            </w:r>
            <w:r>
              <w:rPr>
                <w:rFonts w:hint="eastAsia" w:ascii="Times New Roman" w:hAnsi="Times New Roman" w:eastAsia="宋体" w:cs="宋体"/>
                <w:szCs w:val="21"/>
                <w:highlight w:val="none"/>
              </w:rPr>
              <w:t>月</w:t>
            </w:r>
            <w:r>
              <w:rPr>
                <w:rFonts w:hint="eastAsia" w:ascii="Times New Roman" w:hAnsi="Times New Roman" w:eastAsia="宋体" w:cs="宋体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宋体"/>
                <w:szCs w:val="21"/>
                <w:highlight w:val="none"/>
              </w:rPr>
              <w:t>日</w:t>
            </w:r>
            <w:r>
              <w:rPr>
                <w:rFonts w:hint="eastAsia" w:ascii="Times New Roman" w:hAnsi="Times New Roman" w:eastAsia="宋体" w:cs="宋体"/>
                <w:szCs w:val="21"/>
                <w:highlight w:val="none"/>
                <w:lang w:val="en-US" w:eastAsia="zh-CN"/>
              </w:rPr>
              <w:t>17</w:t>
            </w:r>
            <w:r>
              <w:rPr>
                <w:rFonts w:hint="eastAsia" w:ascii="Times New Roman" w:hAnsi="Times New Roman" w:eastAsia="宋体" w:cs="宋体"/>
                <w:szCs w:val="21"/>
                <w:highlight w:val="none"/>
              </w:rPr>
              <w:t>时</w:t>
            </w:r>
            <w:r>
              <w:rPr>
                <w:rFonts w:hint="eastAsia" w:ascii="Times New Roman" w:hAnsi="Times New Roman" w:eastAsia="宋体" w:cs="宋体"/>
                <w:szCs w:val="21"/>
                <w:highlight w:val="none"/>
                <w:lang w:val="en-US" w:eastAsia="zh-CN"/>
              </w:rPr>
              <w:t>30分</w:t>
            </w:r>
            <w:r>
              <w:rPr>
                <w:rFonts w:hint="eastAsia" w:ascii="Times New Roman" w:hAnsi="Times New Roman" w:eastAsia="宋体" w:cs="宋体"/>
                <w:szCs w:val="21"/>
                <w:highlight w:val="none"/>
              </w:rPr>
              <w:t>前</w:t>
            </w:r>
            <w:r>
              <w:rPr>
                <w:rFonts w:hint="eastAsia" w:ascii="Times New Roman" w:hAnsi="Times New Roman" w:eastAsia="宋体" w:cs="宋体"/>
                <w:szCs w:val="21"/>
              </w:rPr>
              <w:t>，地点：南宁市</w:t>
            </w:r>
            <w:r>
              <w:rPr>
                <w:rFonts w:hint="eastAsia" w:ascii="Times New Roman" w:hAnsi="Times New Roman" w:eastAsia="宋体" w:cs="宋体"/>
                <w:szCs w:val="21"/>
                <w:lang w:val="en-US" w:eastAsia="zh-CN"/>
              </w:rPr>
              <w:t>明秀东路175</w:t>
            </w:r>
            <w:r>
              <w:rPr>
                <w:rFonts w:hint="eastAsia" w:ascii="Times New Roman" w:hAnsi="Times New Roman" w:eastAsia="宋体" w:cs="宋体"/>
                <w:szCs w:val="21"/>
              </w:rPr>
              <w:t>号南宁师范大学</w:t>
            </w:r>
            <w:r>
              <w:rPr>
                <w:rFonts w:hint="eastAsia" w:ascii="Times New Roman" w:hAnsi="Times New Roman" w:eastAsia="宋体" w:cs="宋体"/>
                <w:szCs w:val="21"/>
                <w:lang w:val="en-US" w:eastAsia="zh-CN"/>
              </w:rPr>
              <w:t>鸿远楼111</w:t>
            </w:r>
            <w:r>
              <w:rPr>
                <w:rFonts w:hint="eastAsia" w:ascii="Times New Roman" w:hAnsi="Times New Roman" w:eastAsia="宋体" w:cs="宋体"/>
                <w:szCs w:val="21"/>
              </w:rPr>
              <w:t>室。</w:t>
            </w:r>
          </w:p>
          <w:p w14:paraId="30B5A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Times New Roman" w:hAnsi="Times New Roman" w:eastAsia="宋体" w:cs="宋体"/>
                <w:szCs w:val="21"/>
              </w:rPr>
            </w:pPr>
          </w:p>
          <w:p w14:paraId="052F3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ascii="Times New Roman" w:hAnsi="Times New Roman" w:eastAsia="宋体" w:cs="宋体"/>
                <w:szCs w:val="21"/>
              </w:rPr>
            </w:pPr>
            <w:r>
              <w:rPr>
                <w:rFonts w:hint="eastAsia" w:ascii="Times New Roman" w:hAnsi="Times New Roman" w:eastAsia="宋体" w:cs="宋体"/>
                <w:szCs w:val="21"/>
              </w:rPr>
              <w:t>联系人：</w:t>
            </w:r>
            <w:r>
              <w:rPr>
                <w:rFonts w:hint="eastAsia" w:ascii="Times New Roman" w:hAnsi="Times New Roman" w:eastAsia="宋体" w:cs="宋体"/>
                <w:szCs w:val="21"/>
                <w:lang w:val="en-US" w:eastAsia="zh-CN"/>
              </w:rPr>
              <w:t>刘鸿飞</w:t>
            </w:r>
            <w:r>
              <w:rPr>
                <w:rFonts w:hint="eastAsia" w:ascii="Times New Roman" w:hAnsi="Times New Roman" w:eastAsia="宋体" w:cs="宋体"/>
                <w:szCs w:val="21"/>
              </w:rPr>
              <w:t xml:space="preserve">       联系电话：</w:t>
            </w:r>
            <w:r>
              <w:rPr>
                <w:rFonts w:hint="eastAsia" w:ascii="Times New Roman" w:hAnsi="Times New Roman" w:eastAsia="宋体" w:cs="宋体"/>
                <w:szCs w:val="21"/>
                <w:lang w:val="en-US" w:eastAsia="zh-CN"/>
              </w:rPr>
              <w:t>15578029180</w:t>
            </w:r>
            <w:r>
              <w:rPr>
                <w:rFonts w:hint="eastAsia" w:ascii="Times New Roman" w:hAnsi="Times New Roman" w:eastAsia="宋体" w:cs="宋体"/>
                <w:szCs w:val="21"/>
              </w:rPr>
              <w:t>。</w:t>
            </w:r>
          </w:p>
        </w:tc>
      </w:tr>
    </w:tbl>
    <w:p w14:paraId="73F12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380" w:lineRule="exact"/>
        <w:ind w:firstLine="4160" w:firstLineChars="1300"/>
        <w:jc w:val="both"/>
        <w:textAlignment w:val="auto"/>
        <w:rPr>
          <w:rFonts w:ascii="Times New Roman" w:hAnsi="Times New Roman" w:eastAsia="仿宋_GB2312" w:cs="仿宋_GB2312"/>
          <w:kern w:val="0"/>
          <w:sz w:val="32"/>
          <w:szCs w:val="32"/>
          <w:lang w:val="en-US" w:eastAsia="zh-CN" w:bidi="ar-SA"/>
        </w:rPr>
      </w:pPr>
    </w:p>
    <w:p w14:paraId="6B9DC0E6">
      <w:pPr>
        <w:pStyle w:val="22"/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auto"/>
        <w:rPr>
          <w:rFonts w:hint="eastAsia" w:ascii="Times New Roman" w:hAnsi="Times New Roman" w:eastAsia="仿宋_GB2312" w:cs="黑体"/>
          <w:bCs/>
          <w:color w:val="00000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474" w:bottom="1587" w:left="1587" w:header="851" w:footer="1417" w:gutter="227"/>
      <w:paperSrc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92540BE-C495-47AC-B288-FE0D8A0263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2" w:fontKey="{7300115D-4886-476F-B6A7-14A668CC1F7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6DFD77D-0DE6-47C5-A833-EF952CDFD9A0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6E091D86-940C-456D-81EA-C70AF810CAB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FBB9AA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116965" cy="2305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6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DC08CC">
                          <w:pPr>
                            <w:pStyle w:val="7"/>
                            <w:ind w:left="315" w:leftChars="150" w:right="315" w:rightChars="15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squar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8.15pt;width:87.95pt;mso-position-horizontal:outside;mso-position-horizontal-relative:margin;z-index:251659264;mso-width-relative:page;mso-height-relative:page;" filled="f" stroked="f" coordsize="21600,21600" o:gfxdata="UEsDBAoAAAAAAIdO4kAAAAAAAAAAAAAAAAAEAAAAZHJzL1BLAwQUAAAACACHTuJAnqiNJNMAAAAE&#10;AQAADwAAAGRycy9kb3ducmV2LnhtbE2PMU/DMBCFdyT+g3VILIg6bkVoQ5wOCBY2WhY2N74mEfY5&#10;iq9J6K/HZYHlpKf39N535Xb2Tow4xC6QBrXIQCDVwXbUaPjYv96vQUQ2ZI0LhBq+McK2ur4qTWHD&#10;RO847rgRqYRiYTS0zH0hZaxb9CYuQo+UvGMYvOEkh0bawUyp3Du5zLJcetNRWmhNj88t1l+7k9eQ&#10;zy/93dsGl9O5diN9npViVFrf3qjsCQTjzH9huOAndKgS0yGcyEbhNKRH+PdevMeHDYiDhlW+AlmV&#10;8j989QNQSwMEFAAAAAgAh07iQKzPDDXOAQAAmgMAAA4AAABkcnMvZTJvRG9jLnhtbK1TTa7TMBDe&#10;I3EHy3uapKgVRE2fQNVDSAiQHhzAdZzGkv+YcZr0AnADVmzYc66eg3GS9sFj8xZsnPHM+Jv5vpls&#10;bgZr2FEBau8qXixyzpSTvtbuUPHPn26fveAMo3C1MN6pip8U8pvt0yebPpRq6VtvagWMQByWfah4&#10;G2Moswxlq6zAhQ/KUbDxYEWkKxyyGkRP6NZkyzxfZ72HOoCXCpG8uynIZ0R4DKBvGi3VzsvOKhcn&#10;VFBGRKKErQ7It2O3TaNk/NA0qCIzFSemcTypCNn7dGbbjSgPIEKr5dyCeEwLDzhZoR0VvULtRBSs&#10;A/0PlNUSPPomLqS32URkVIRYFPkDbe5aEdTIhaTGcBUd/x+sfH/8CEzXtAmcOWFp4Ofv384/fp1/&#10;fmVFkqcPWFLWXaC8OLz2Q0qd/UjOxHpowKYv8WEUJ3FPV3HVEJlMj4pi/XK94kxSbPk8X+WrBJPd&#10;vw6A8Y3yliWj4kDDGzUVx3cYp9RLSirm/K02hvyiNO4vB2EmT5Zan1pMVhz2w9z33tcnotPT3CuO&#10;XzoBijPz1pGwaUkuBlyM/cXoAuhDO25RqojhVRepjbG7VGMCnkvTyEZ+83qlnfjzPmbd/1Lb3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J6ojSTTAAAABAEAAA8AAAAAAAAAAQAgAAAAIgAAAGRycy9k&#10;b3ducmV2LnhtbFBLAQIUABQAAAAIAIdO4kCszww1zgEAAJoDAAAOAAAAAAAAAAEAIAAAACIBAABk&#10;cnMvZTJvRG9jLnhtbFBLBQYAAAAABgAGAFkBAABi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DC08CC">
                    <w:pPr>
                      <w:pStyle w:val="7"/>
                      <w:ind w:left="315" w:leftChars="150" w:right="315" w:rightChars="15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443F84"/>
    <w:multiLevelType w:val="singleLevel"/>
    <w:tmpl w:val="21443F84"/>
    <w:lvl w:ilvl="0" w:tentative="0">
      <w:start w:val="1"/>
      <w:numFmt w:val="decimal"/>
      <w:suff w:val="nothing"/>
      <w:lvlText w:val="%1、"/>
      <w:lvlJc w:val="left"/>
      <w:rPr>
        <w:rFonts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0"/>
  <w:bordersDoNotSurroundFooter w:val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xMGMzODUyZDkwZTczOTJkZWRjNDliYzIzZjBjY2EifQ=="/>
  </w:docVars>
  <w:rsids>
    <w:rsidRoot w:val="008B7E74"/>
    <w:rsid w:val="00053115"/>
    <w:rsid w:val="0006611D"/>
    <w:rsid w:val="000E7458"/>
    <w:rsid w:val="0012179B"/>
    <w:rsid w:val="00140D12"/>
    <w:rsid w:val="001605DF"/>
    <w:rsid w:val="00182E4D"/>
    <w:rsid w:val="001C16F4"/>
    <w:rsid w:val="001F0EB9"/>
    <w:rsid w:val="0020477C"/>
    <w:rsid w:val="00207C27"/>
    <w:rsid w:val="002242EF"/>
    <w:rsid w:val="00240962"/>
    <w:rsid w:val="00264201"/>
    <w:rsid w:val="00282812"/>
    <w:rsid w:val="00372799"/>
    <w:rsid w:val="003A6415"/>
    <w:rsid w:val="003C2110"/>
    <w:rsid w:val="003E3D61"/>
    <w:rsid w:val="00402F7C"/>
    <w:rsid w:val="00407460"/>
    <w:rsid w:val="00442B8D"/>
    <w:rsid w:val="004522DD"/>
    <w:rsid w:val="00495FD0"/>
    <w:rsid w:val="004A5F51"/>
    <w:rsid w:val="004A75E5"/>
    <w:rsid w:val="004B5830"/>
    <w:rsid w:val="004B5EC8"/>
    <w:rsid w:val="004C4E88"/>
    <w:rsid w:val="0050733A"/>
    <w:rsid w:val="00525850"/>
    <w:rsid w:val="0053004E"/>
    <w:rsid w:val="00532289"/>
    <w:rsid w:val="005474DA"/>
    <w:rsid w:val="0055619D"/>
    <w:rsid w:val="0057184F"/>
    <w:rsid w:val="0058371D"/>
    <w:rsid w:val="005A01D2"/>
    <w:rsid w:val="005B27B9"/>
    <w:rsid w:val="00601279"/>
    <w:rsid w:val="00604D76"/>
    <w:rsid w:val="0060711D"/>
    <w:rsid w:val="00633E9C"/>
    <w:rsid w:val="0064341D"/>
    <w:rsid w:val="0067150E"/>
    <w:rsid w:val="006B5E6C"/>
    <w:rsid w:val="006D15EB"/>
    <w:rsid w:val="006D22EB"/>
    <w:rsid w:val="007005B6"/>
    <w:rsid w:val="00713026"/>
    <w:rsid w:val="00713FAA"/>
    <w:rsid w:val="007572A8"/>
    <w:rsid w:val="007859ED"/>
    <w:rsid w:val="007A3435"/>
    <w:rsid w:val="007E2EF3"/>
    <w:rsid w:val="007E7448"/>
    <w:rsid w:val="007F5B9F"/>
    <w:rsid w:val="0084330C"/>
    <w:rsid w:val="008B7E74"/>
    <w:rsid w:val="009266D8"/>
    <w:rsid w:val="00945C97"/>
    <w:rsid w:val="009717C3"/>
    <w:rsid w:val="00974317"/>
    <w:rsid w:val="0098610E"/>
    <w:rsid w:val="009A2EF6"/>
    <w:rsid w:val="009B43A3"/>
    <w:rsid w:val="00A03699"/>
    <w:rsid w:val="00A60378"/>
    <w:rsid w:val="00A63D35"/>
    <w:rsid w:val="00AA007E"/>
    <w:rsid w:val="00AA3AC4"/>
    <w:rsid w:val="00AE092F"/>
    <w:rsid w:val="00B26EEE"/>
    <w:rsid w:val="00B3537A"/>
    <w:rsid w:val="00B82070"/>
    <w:rsid w:val="00BB42A5"/>
    <w:rsid w:val="00BD6402"/>
    <w:rsid w:val="00BD65DC"/>
    <w:rsid w:val="00C12A51"/>
    <w:rsid w:val="00C20139"/>
    <w:rsid w:val="00C32702"/>
    <w:rsid w:val="00C8018D"/>
    <w:rsid w:val="00C80D73"/>
    <w:rsid w:val="00CB0B34"/>
    <w:rsid w:val="00CE3F2B"/>
    <w:rsid w:val="00CF46DC"/>
    <w:rsid w:val="00D11B9B"/>
    <w:rsid w:val="00D17A34"/>
    <w:rsid w:val="00D22CFC"/>
    <w:rsid w:val="00D23DBE"/>
    <w:rsid w:val="00D347FA"/>
    <w:rsid w:val="00D42BBF"/>
    <w:rsid w:val="00DA7D1F"/>
    <w:rsid w:val="00DC0A6C"/>
    <w:rsid w:val="00DF23C6"/>
    <w:rsid w:val="00DF46D1"/>
    <w:rsid w:val="00E063D5"/>
    <w:rsid w:val="00E10576"/>
    <w:rsid w:val="00E12D55"/>
    <w:rsid w:val="00E558CB"/>
    <w:rsid w:val="00E63B36"/>
    <w:rsid w:val="00E6445A"/>
    <w:rsid w:val="00EF7AFD"/>
    <w:rsid w:val="00F068C4"/>
    <w:rsid w:val="00F23F8A"/>
    <w:rsid w:val="00F34BBC"/>
    <w:rsid w:val="00F83963"/>
    <w:rsid w:val="00F859AC"/>
    <w:rsid w:val="00F86DFD"/>
    <w:rsid w:val="00FD7F0E"/>
    <w:rsid w:val="00FE1010"/>
    <w:rsid w:val="014A4A76"/>
    <w:rsid w:val="02A8425B"/>
    <w:rsid w:val="02F441A6"/>
    <w:rsid w:val="03262C21"/>
    <w:rsid w:val="0356161D"/>
    <w:rsid w:val="03A86BDE"/>
    <w:rsid w:val="044F0CEE"/>
    <w:rsid w:val="04534BE6"/>
    <w:rsid w:val="05764237"/>
    <w:rsid w:val="059F61D2"/>
    <w:rsid w:val="060651C5"/>
    <w:rsid w:val="065F4386"/>
    <w:rsid w:val="07286568"/>
    <w:rsid w:val="081E0B1B"/>
    <w:rsid w:val="08951D08"/>
    <w:rsid w:val="095B5DDE"/>
    <w:rsid w:val="09A70937"/>
    <w:rsid w:val="0A4C666E"/>
    <w:rsid w:val="0A983694"/>
    <w:rsid w:val="0B744619"/>
    <w:rsid w:val="0B9F1465"/>
    <w:rsid w:val="0BD43B2A"/>
    <w:rsid w:val="0C1B3CF0"/>
    <w:rsid w:val="0C2A5482"/>
    <w:rsid w:val="0C4E3B1C"/>
    <w:rsid w:val="0C9C3605"/>
    <w:rsid w:val="0CAC2995"/>
    <w:rsid w:val="0D070867"/>
    <w:rsid w:val="0D14731C"/>
    <w:rsid w:val="0D4A4B8F"/>
    <w:rsid w:val="0D686D36"/>
    <w:rsid w:val="0D786450"/>
    <w:rsid w:val="0DC12675"/>
    <w:rsid w:val="0E3D2960"/>
    <w:rsid w:val="0F517A28"/>
    <w:rsid w:val="0FC95811"/>
    <w:rsid w:val="0FD60E02"/>
    <w:rsid w:val="10E92154"/>
    <w:rsid w:val="110D346B"/>
    <w:rsid w:val="11280B9E"/>
    <w:rsid w:val="117621CC"/>
    <w:rsid w:val="11E701F0"/>
    <w:rsid w:val="12A26B2D"/>
    <w:rsid w:val="1394485D"/>
    <w:rsid w:val="13CF0983"/>
    <w:rsid w:val="146914CA"/>
    <w:rsid w:val="14845168"/>
    <w:rsid w:val="158A7621"/>
    <w:rsid w:val="171F7CC1"/>
    <w:rsid w:val="1763654B"/>
    <w:rsid w:val="17BD4979"/>
    <w:rsid w:val="17E54B14"/>
    <w:rsid w:val="18106CB9"/>
    <w:rsid w:val="1A171153"/>
    <w:rsid w:val="1AD03EF7"/>
    <w:rsid w:val="1B1810D0"/>
    <w:rsid w:val="1B5508A0"/>
    <w:rsid w:val="1BD746A6"/>
    <w:rsid w:val="1C433CCA"/>
    <w:rsid w:val="1CA47496"/>
    <w:rsid w:val="1EF54BEB"/>
    <w:rsid w:val="1FE750BC"/>
    <w:rsid w:val="20AA7551"/>
    <w:rsid w:val="20EF4E17"/>
    <w:rsid w:val="21022930"/>
    <w:rsid w:val="216605EF"/>
    <w:rsid w:val="22585563"/>
    <w:rsid w:val="22E91FFA"/>
    <w:rsid w:val="22F95FB5"/>
    <w:rsid w:val="230A01C2"/>
    <w:rsid w:val="235C626D"/>
    <w:rsid w:val="253138BD"/>
    <w:rsid w:val="25755DC7"/>
    <w:rsid w:val="25A7129E"/>
    <w:rsid w:val="25E47D64"/>
    <w:rsid w:val="26307459"/>
    <w:rsid w:val="26804A23"/>
    <w:rsid w:val="276205CD"/>
    <w:rsid w:val="27DC1BA6"/>
    <w:rsid w:val="27DC7E2A"/>
    <w:rsid w:val="2863400C"/>
    <w:rsid w:val="288C4B59"/>
    <w:rsid w:val="29C101A0"/>
    <w:rsid w:val="29D1068C"/>
    <w:rsid w:val="2C834905"/>
    <w:rsid w:val="2CA95C18"/>
    <w:rsid w:val="2CDC7DFA"/>
    <w:rsid w:val="2CF54CEB"/>
    <w:rsid w:val="2D2A6065"/>
    <w:rsid w:val="2DAA7F8B"/>
    <w:rsid w:val="2EEA2AB0"/>
    <w:rsid w:val="2EEE3AD5"/>
    <w:rsid w:val="2F08712F"/>
    <w:rsid w:val="2F1B069C"/>
    <w:rsid w:val="2F3A3BDD"/>
    <w:rsid w:val="30AB18FD"/>
    <w:rsid w:val="30DF2515"/>
    <w:rsid w:val="31823EAC"/>
    <w:rsid w:val="32B050F3"/>
    <w:rsid w:val="338F7FEF"/>
    <w:rsid w:val="34860B90"/>
    <w:rsid w:val="34CA2155"/>
    <w:rsid w:val="35C0061E"/>
    <w:rsid w:val="35F56B49"/>
    <w:rsid w:val="366130C3"/>
    <w:rsid w:val="379C1BDD"/>
    <w:rsid w:val="37D77D38"/>
    <w:rsid w:val="37F37C92"/>
    <w:rsid w:val="386C44B4"/>
    <w:rsid w:val="387F40B8"/>
    <w:rsid w:val="39C96129"/>
    <w:rsid w:val="39EB6200"/>
    <w:rsid w:val="3A4D51A7"/>
    <w:rsid w:val="3A853E6B"/>
    <w:rsid w:val="3AC271F7"/>
    <w:rsid w:val="3B5B1995"/>
    <w:rsid w:val="3BA66400"/>
    <w:rsid w:val="3C0A47BB"/>
    <w:rsid w:val="3D582EC1"/>
    <w:rsid w:val="3DC14754"/>
    <w:rsid w:val="3ED25244"/>
    <w:rsid w:val="3F1D468D"/>
    <w:rsid w:val="3F706B28"/>
    <w:rsid w:val="3F80492C"/>
    <w:rsid w:val="3F964E60"/>
    <w:rsid w:val="3FA46970"/>
    <w:rsid w:val="3FD57736"/>
    <w:rsid w:val="3FDD5895"/>
    <w:rsid w:val="40005250"/>
    <w:rsid w:val="402D7572"/>
    <w:rsid w:val="4078361E"/>
    <w:rsid w:val="40EA54C1"/>
    <w:rsid w:val="410018BF"/>
    <w:rsid w:val="412D1443"/>
    <w:rsid w:val="42857140"/>
    <w:rsid w:val="429C7032"/>
    <w:rsid w:val="42B963D2"/>
    <w:rsid w:val="433768A5"/>
    <w:rsid w:val="442F27D3"/>
    <w:rsid w:val="44513285"/>
    <w:rsid w:val="44564BBE"/>
    <w:rsid w:val="44B35329"/>
    <w:rsid w:val="44D37FBC"/>
    <w:rsid w:val="46B57FE5"/>
    <w:rsid w:val="47213BB8"/>
    <w:rsid w:val="47E60D44"/>
    <w:rsid w:val="47F80809"/>
    <w:rsid w:val="47FC23E8"/>
    <w:rsid w:val="488E4C64"/>
    <w:rsid w:val="49B60C22"/>
    <w:rsid w:val="4AD44389"/>
    <w:rsid w:val="4BCC1AEF"/>
    <w:rsid w:val="4BE13FEF"/>
    <w:rsid w:val="4C5A77EE"/>
    <w:rsid w:val="4CD06357"/>
    <w:rsid w:val="4D196503"/>
    <w:rsid w:val="4D2371C2"/>
    <w:rsid w:val="4DE67291"/>
    <w:rsid w:val="4E4F3611"/>
    <w:rsid w:val="4EE15C0E"/>
    <w:rsid w:val="5036724F"/>
    <w:rsid w:val="507F724A"/>
    <w:rsid w:val="510B5FFF"/>
    <w:rsid w:val="511D0F73"/>
    <w:rsid w:val="518672BB"/>
    <w:rsid w:val="51AD75F7"/>
    <w:rsid w:val="527D0C7C"/>
    <w:rsid w:val="532A5489"/>
    <w:rsid w:val="53711F0C"/>
    <w:rsid w:val="5377134C"/>
    <w:rsid w:val="537F02D0"/>
    <w:rsid w:val="53941425"/>
    <w:rsid w:val="54172061"/>
    <w:rsid w:val="54C71FA4"/>
    <w:rsid w:val="54E3083D"/>
    <w:rsid w:val="556C0A80"/>
    <w:rsid w:val="557B3161"/>
    <w:rsid w:val="55801C76"/>
    <w:rsid w:val="55A57753"/>
    <w:rsid w:val="56957C2C"/>
    <w:rsid w:val="56F0513B"/>
    <w:rsid w:val="574D1ABF"/>
    <w:rsid w:val="577B0A0B"/>
    <w:rsid w:val="58164938"/>
    <w:rsid w:val="589B308D"/>
    <w:rsid w:val="5A533C21"/>
    <w:rsid w:val="5A537358"/>
    <w:rsid w:val="5A625C12"/>
    <w:rsid w:val="5A6C3701"/>
    <w:rsid w:val="5ACC7127"/>
    <w:rsid w:val="5CA40764"/>
    <w:rsid w:val="5CBE0DAE"/>
    <w:rsid w:val="5CD14D51"/>
    <w:rsid w:val="5CEA5C73"/>
    <w:rsid w:val="5CF82622"/>
    <w:rsid w:val="5D277CEA"/>
    <w:rsid w:val="5D374438"/>
    <w:rsid w:val="5D5B34A9"/>
    <w:rsid w:val="5D9C3937"/>
    <w:rsid w:val="5DE935AC"/>
    <w:rsid w:val="5E4141D7"/>
    <w:rsid w:val="5E4D7D03"/>
    <w:rsid w:val="610663F2"/>
    <w:rsid w:val="61746A5B"/>
    <w:rsid w:val="61E12E07"/>
    <w:rsid w:val="63121CFC"/>
    <w:rsid w:val="63192BF6"/>
    <w:rsid w:val="63410EB0"/>
    <w:rsid w:val="63CB1194"/>
    <w:rsid w:val="65543463"/>
    <w:rsid w:val="65967B5F"/>
    <w:rsid w:val="65F30067"/>
    <w:rsid w:val="669E2277"/>
    <w:rsid w:val="66DE29B3"/>
    <w:rsid w:val="67136C12"/>
    <w:rsid w:val="684828EC"/>
    <w:rsid w:val="6866257D"/>
    <w:rsid w:val="68B868BE"/>
    <w:rsid w:val="68DA5934"/>
    <w:rsid w:val="6A431463"/>
    <w:rsid w:val="6AD42215"/>
    <w:rsid w:val="6AFB6BDB"/>
    <w:rsid w:val="6B7709C8"/>
    <w:rsid w:val="6BBE6EF7"/>
    <w:rsid w:val="6BEC5C84"/>
    <w:rsid w:val="6C296211"/>
    <w:rsid w:val="6C4B354E"/>
    <w:rsid w:val="6D2C7F78"/>
    <w:rsid w:val="6F7E287F"/>
    <w:rsid w:val="70661FBB"/>
    <w:rsid w:val="70C84FC4"/>
    <w:rsid w:val="714C6B51"/>
    <w:rsid w:val="71C1726B"/>
    <w:rsid w:val="72457E9C"/>
    <w:rsid w:val="737F3F7A"/>
    <w:rsid w:val="73FC32EF"/>
    <w:rsid w:val="74113C8D"/>
    <w:rsid w:val="741E2752"/>
    <w:rsid w:val="754D655C"/>
    <w:rsid w:val="75535DED"/>
    <w:rsid w:val="75574552"/>
    <w:rsid w:val="758744DF"/>
    <w:rsid w:val="75FC5C35"/>
    <w:rsid w:val="7673644F"/>
    <w:rsid w:val="769F7746"/>
    <w:rsid w:val="77DA4269"/>
    <w:rsid w:val="77F02662"/>
    <w:rsid w:val="798261E7"/>
    <w:rsid w:val="7A62237E"/>
    <w:rsid w:val="7ACD7044"/>
    <w:rsid w:val="7B2A2C51"/>
    <w:rsid w:val="7B2E5D41"/>
    <w:rsid w:val="7CBB6B9D"/>
    <w:rsid w:val="7DAB1C03"/>
    <w:rsid w:val="7E603096"/>
    <w:rsid w:val="7EBC562D"/>
    <w:rsid w:val="7F4065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unhideWhenUsed/>
    <w:uiPriority w:val="1"/>
  </w:style>
  <w:style w:type="table" w:default="1" w:styleId="12">
    <w:name w:val="Normal Table"/>
    <w:unhideWhenUsed/>
    <w:qFormat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next w:val="1"/>
    <w:qFormat/>
    <w:uiPriority w:val="0"/>
    <w:pPr>
      <w:widowControl w:val="0"/>
      <w:spacing w:before="120"/>
      <w:jc w:val="both"/>
    </w:pPr>
    <w:rPr>
      <w:rFonts w:ascii="Arial" w:hAnsi="Arial"/>
      <w:sz w:val="24"/>
      <w:lang w:val="en-US" w:eastAsia="zh-CN" w:bidi="ar-SA"/>
    </w:rPr>
  </w:style>
  <w:style w:type="paragraph" w:styleId="3">
    <w:name w:val="Body Text"/>
    <w:basedOn w:val="1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仿宋_GB2312" w:hAnsi="仿宋_GB2312" w:eastAsia="仿宋_GB2312" w:cs="仿宋_GB2312"/>
      <w:snapToGrid w:val="0"/>
      <w:color w:val="000000"/>
      <w:sz w:val="31"/>
      <w:szCs w:val="31"/>
      <w:lang w:val="en-US" w:eastAsia="en-US" w:bidi="ar-SA"/>
    </w:rPr>
  </w:style>
  <w:style w:type="paragraph" w:styleId="4">
    <w:name w:val="Date"/>
    <w:basedOn w:val="1"/>
    <w:next w:val="1"/>
    <w:link w:val="17"/>
    <w:unhideWhenUsed/>
    <w:uiPriority w:val="99"/>
    <w:pPr>
      <w:ind w:left="100" w:leftChars="2500"/>
    </w:pPr>
  </w:style>
  <w:style w:type="paragraph" w:styleId="5">
    <w:name w:val="Body Text Indent 2"/>
    <w:basedOn w:val="1"/>
    <w:qFormat/>
    <w:uiPriority w:val="0"/>
    <w:pPr>
      <w:ind w:firstLine="510"/>
    </w:pPr>
    <w:rPr>
      <w:rFonts w:eastAsia="仿宋_GB2312"/>
      <w:sz w:val="32"/>
    </w:rPr>
  </w:style>
  <w:style w:type="paragraph" w:styleId="6">
    <w:name w:val="Balloon Text"/>
    <w:basedOn w:val="1"/>
    <w:link w:val="18"/>
    <w:unhideWhenUsed/>
    <w:uiPriority w:val="99"/>
    <w:rPr>
      <w:sz w:val="18"/>
      <w:szCs w:val="18"/>
    </w:rPr>
  </w:style>
  <w:style w:type="paragraph" w:styleId="7">
    <w:name w:val="footer"/>
    <w:basedOn w:val="1"/>
    <w:link w:val="1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10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3">
    <w:name w:val="Table Grid"/>
    <w:basedOn w:val="12"/>
    <w:qFormat/>
    <w:uiPriority w:val="0"/>
    <w:tblPr>
      <w:tblStyle w:val="1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uiPriority w:val="0"/>
    <w:rPr>
      <w:b/>
    </w:rPr>
  </w:style>
  <w:style w:type="character" w:styleId="16">
    <w:name w:val="page number"/>
    <w:qFormat/>
    <w:uiPriority w:val="0"/>
  </w:style>
  <w:style w:type="character" w:customStyle="1" w:styleId="17">
    <w:name w:val="日期 字符"/>
    <w:link w:val="4"/>
    <w:semiHidden/>
    <w:uiPriority w:val="99"/>
    <w:rPr>
      <w:kern w:val="2"/>
      <w:sz w:val="21"/>
      <w:szCs w:val="24"/>
    </w:rPr>
  </w:style>
  <w:style w:type="character" w:customStyle="1" w:styleId="18">
    <w:name w:val="批注框文本 字符"/>
    <w:link w:val="6"/>
    <w:semiHidden/>
    <w:uiPriority w:val="99"/>
    <w:rPr>
      <w:kern w:val="2"/>
      <w:sz w:val="18"/>
      <w:szCs w:val="18"/>
    </w:rPr>
  </w:style>
  <w:style w:type="character" w:customStyle="1" w:styleId="19">
    <w:name w:val="页脚 字符"/>
    <w:link w:val="7"/>
    <w:semiHidden/>
    <w:uiPriority w:val="99"/>
    <w:rPr>
      <w:sz w:val="18"/>
      <w:szCs w:val="18"/>
    </w:rPr>
  </w:style>
  <w:style w:type="character" w:customStyle="1" w:styleId="20">
    <w:name w:val="页眉 字符"/>
    <w:link w:val="8"/>
    <w:semiHidden/>
    <w:uiPriority w:val="99"/>
    <w:rPr>
      <w:sz w:val="18"/>
      <w:szCs w:val="18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  <w:lang w:val="en-US" w:eastAsia="zh-CN" w:bidi="ar-SA"/>
    </w:rPr>
  </w:style>
  <w:style w:type="paragraph" w:customStyle="1" w:styleId="22">
    <w:name w:val="cjk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table" w:customStyle="1" w:styleId="24">
    <w:name w:val="网格型1"/>
    <w:basedOn w:val="12"/>
    <w:qFormat/>
    <w:uiPriority w:val="39"/>
    <w:rPr>
      <w:rFonts w:ascii="Calibri" w:hAnsi="Calibri" w:eastAsia="宋体" w:cs="Times New Roman"/>
      <w:kern w:val="2"/>
      <w:sz w:val="21"/>
      <w:szCs w:val="22"/>
    </w:rPr>
    <w:tblPr>
      <w:tblStyle w:val="1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1832</Words>
  <Characters>1937</Characters>
  <Lines>26</Lines>
  <Paragraphs>7</Paragraphs>
  <TotalTime>0</TotalTime>
  <ScaleCrop>false</ScaleCrop>
  <LinksUpToDate>false</LinksUpToDate>
  <CharactersWithSpaces>2003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2026-07-02T05:33:00Z</dcterms:created>
  <dc:creator>ASUS</dc:creator>
  <cp:lastModifiedBy>南师大刘老师</cp:lastModifiedBy>
  <cp:lastPrinted>2026-07-02T05:34:00Z</cp:lastPrinted>
  <dcterms:modified xsi:type="dcterms:W3CDTF">2026-11-02T10:10:29Z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5816F58B03B64EC6A81AFB9231B0F14C_13</vt:lpwstr>
  </property>
  <property fmtid="{D5CDD505-2E9C-101B-9397-08002B2CF9AE}" pid="4" name="KSOTemplateDocerSaveRecord">
    <vt:lpwstr>eyJoZGlkIjoiMjcwYTFiNTQwNDM1NzYxMjQ4Nzg1MDIzMjIxMzEzOWEiLCJ1c2VySWQiOiI4NTY1ODA1MTAifQ==</vt:lpwstr>
  </property>
</Properties>
</file>